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AD2D34" w:rsidRPr="00AD2D34">
        <w:rPr>
          <w:sz w:val="28"/>
        </w:rPr>
        <w:t>Außenthermometer</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AD2D34" w:rsidRPr="00CA4F42" w:rsidTr="00AD2D34">
        <w:tc>
          <w:tcPr>
            <w:tcW w:w="2466" w:type="dxa"/>
            <w:vAlign w:val="center"/>
          </w:tcPr>
          <w:p w:rsidR="00AD2D34" w:rsidRPr="00FE6928" w:rsidRDefault="00AD2D34" w:rsidP="00E73945">
            <w:pPr>
              <w:pStyle w:val="IQB-Merkmal"/>
            </w:pPr>
            <w:r w:rsidRPr="00FE6928">
              <w:t>Leitidee</w:t>
            </w:r>
          </w:p>
        </w:tc>
        <w:tc>
          <w:tcPr>
            <w:tcW w:w="6604" w:type="dxa"/>
          </w:tcPr>
          <w:p w:rsidR="00AD2D34" w:rsidRPr="00FE6928" w:rsidRDefault="00AD2D34" w:rsidP="00E73945">
            <w:pPr>
              <w:pStyle w:val="IQB-Merkmalswert"/>
            </w:pPr>
            <w:r w:rsidRPr="00FE6928">
              <w:t>1. Zahl</w:t>
            </w:r>
          </w:p>
        </w:tc>
      </w:tr>
      <w:tr w:rsidR="00AD2D34" w:rsidRPr="00CA4F42" w:rsidTr="00AD2D34">
        <w:tc>
          <w:tcPr>
            <w:tcW w:w="2466" w:type="dxa"/>
            <w:vAlign w:val="center"/>
          </w:tcPr>
          <w:p w:rsidR="00AD2D34" w:rsidRPr="00FE6928" w:rsidRDefault="00AD2D34" w:rsidP="00E73945">
            <w:pPr>
              <w:pStyle w:val="IQB-Merkmal"/>
            </w:pPr>
            <w:r w:rsidRPr="00FE6928">
              <w:t>Allgemeine Kompetenzen</w:t>
            </w:r>
          </w:p>
        </w:tc>
        <w:tc>
          <w:tcPr>
            <w:tcW w:w="6604" w:type="dxa"/>
          </w:tcPr>
          <w:p w:rsidR="00AD2D34" w:rsidRPr="00FE6928" w:rsidRDefault="00AD2D34" w:rsidP="00E73945">
            <w:pPr>
              <w:pStyle w:val="IQB-Merkmalswert"/>
            </w:pPr>
            <w:r>
              <w:t>Mit symbolischen, formalen und technischen Elementen der Mathematik umg</w:t>
            </w:r>
            <w:r>
              <w:t>e</w:t>
            </w:r>
            <w:r>
              <w:t>hen (K5)</w:t>
            </w:r>
          </w:p>
        </w:tc>
      </w:tr>
      <w:tr w:rsidR="00AD2D34" w:rsidRPr="00CA4F42" w:rsidTr="00AD2D34">
        <w:tc>
          <w:tcPr>
            <w:tcW w:w="2466" w:type="dxa"/>
            <w:vAlign w:val="center"/>
          </w:tcPr>
          <w:p w:rsidR="00AD2D34" w:rsidRPr="00FE6928" w:rsidRDefault="00AD2D34" w:rsidP="00E73945">
            <w:pPr>
              <w:pStyle w:val="IQB-Merkmal"/>
            </w:pPr>
            <w:r w:rsidRPr="00FE6928">
              <w:t>Anforderungsbereich</w:t>
            </w:r>
          </w:p>
        </w:tc>
        <w:tc>
          <w:tcPr>
            <w:tcW w:w="6604" w:type="dxa"/>
          </w:tcPr>
          <w:p w:rsidR="00AD2D34" w:rsidRPr="00FE6928" w:rsidRDefault="00AD2D34" w:rsidP="00E73945">
            <w:pPr>
              <w:pStyle w:val="IQB-Merkmalswert"/>
            </w:pPr>
            <w:r w:rsidRPr="00FE6928">
              <w:t>I</w:t>
            </w:r>
          </w:p>
        </w:tc>
      </w:tr>
      <w:tr w:rsidR="00AD2D34" w:rsidRPr="00CA4F42" w:rsidTr="00AD2D34">
        <w:tc>
          <w:tcPr>
            <w:tcW w:w="2466" w:type="dxa"/>
            <w:vAlign w:val="center"/>
          </w:tcPr>
          <w:p w:rsidR="00AD2D34" w:rsidRPr="00FE6928" w:rsidRDefault="00AD2D34" w:rsidP="00E73945">
            <w:pPr>
              <w:pStyle w:val="IQB-Merkmal"/>
            </w:pPr>
            <w:r w:rsidRPr="00FE6928">
              <w:t>Kompetenzstufe</w:t>
            </w:r>
          </w:p>
        </w:tc>
        <w:tc>
          <w:tcPr>
            <w:tcW w:w="6604" w:type="dxa"/>
          </w:tcPr>
          <w:p w:rsidR="00AD2D34" w:rsidRPr="00FE6928" w:rsidRDefault="00AD2D34" w:rsidP="00E73945">
            <w:pPr>
              <w:pStyle w:val="IQB-Merkmalswert"/>
            </w:pPr>
            <w:r w:rsidRPr="00FE6928">
              <w:t>1a</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AD2D34" w:rsidRPr="00CA4F42" w:rsidTr="00AD2D34">
        <w:tc>
          <w:tcPr>
            <w:tcW w:w="2466" w:type="dxa"/>
            <w:vAlign w:val="center"/>
          </w:tcPr>
          <w:p w:rsidR="00AD2D34" w:rsidRPr="00FE6928" w:rsidRDefault="00AD2D34" w:rsidP="00E73945">
            <w:pPr>
              <w:pStyle w:val="IQB-Merkmal"/>
            </w:pPr>
            <w:r w:rsidRPr="00FE6928">
              <w:t>Leitidee</w:t>
            </w:r>
          </w:p>
        </w:tc>
        <w:tc>
          <w:tcPr>
            <w:tcW w:w="6604" w:type="dxa"/>
          </w:tcPr>
          <w:p w:rsidR="00AD2D34" w:rsidRPr="00FE6928" w:rsidRDefault="00AD2D34" w:rsidP="00E73945">
            <w:pPr>
              <w:pStyle w:val="IQB-Merkmalswert"/>
            </w:pPr>
            <w:r w:rsidRPr="00FE6928">
              <w:t>1. Zahl</w:t>
            </w:r>
          </w:p>
        </w:tc>
      </w:tr>
      <w:tr w:rsidR="00AD2D34" w:rsidRPr="00CA4F42" w:rsidTr="00AD2D34">
        <w:tc>
          <w:tcPr>
            <w:tcW w:w="2466" w:type="dxa"/>
            <w:vAlign w:val="center"/>
          </w:tcPr>
          <w:p w:rsidR="00AD2D34" w:rsidRPr="00FE6928" w:rsidRDefault="00AD2D34" w:rsidP="00E73945">
            <w:pPr>
              <w:pStyle w:val="IQB-Merkmal"/>
            </w:pPr>
            <w:r w:rsidRPr="00FE6928">
              <w:t>Allgemeine Kompetenzen</w:t>
            </w:r>
          </w:p>
        </w:tc>
        <w:tc>
          <w:tcPr>
            <w:tcW w:w="6604" w:type="dxa"/>
          </w:tcPr>
          <w:p w:rsidR="00AD2D34" w:rsidRPr="00FE6928" w:rsidRDefault="00AD2D34" w:rsidP="00E73945">
            <w:pPr>
              <w:pStyle w:val="IQB-Merkmalswert"/>
            </w:pPr>
            <w:r>
              <w:t>Mit symbolischen, formalen und technischen Elementen der Mathematik umg</w:t>
            </w:r>
            <w:r>
              <w:t>e</w:t>
            </w:r>
            <w:r>
              <w:t>hen (K5)</w:t>
            </w:r>
          </w:p>
        </w:tc>
      </w:tr>
      <w:tr w:rsidR="00AD2D34" w:rsidRPr="00CA4F42" w:rsidTr="00AD2D34">
        <w:tc>
          <w:tcPr>
            <w:tcW w:w="2466" w:type="dxa"/>
            <w:vAlign w:val="center"/>
          </w:tcPr>
          <w:p w:rsidR="00AD2D34" w:rsidRPr="00FE6928" w:rsidRDefault="00AD2D34" w:rsidP="00E73945">
            <w:pPr>
              <w:pStyle w:val="IQB-Merkmal"/>
            </w:pPr>
            <w:r w:rsidRPr="00FE6928">
              <w:t>Anforderungsbereich</w:t>
            </w:r>
          </w:p>
        </w:tc>
        <w:tc>
          <w:tcPr>
            <w:tcW w:w="6604" w:type="dxa"/>
          </w:tcPr>
          <w:p w:rsidR="00AD2D34" w:rsidRPr="00FE6928" w:rsidRDefault="00AD2D34" w:rsidP="00E73945">
            <w:pPr>
              <w:pStyle w:val="IQB-Merkmalswert"/>
            </w:pPr>
            <w:r w:rsidRPr="00FE6928">
              <w:t>I</w:t>
            </w:r>
          </w:p>
        </w:tc>
      </w:tr>
      <w:tr w:rsidR="00AD2D34" w:rsidRPr="00CA4F42" w:rsidTr="00AD2D34">
        <w:tc>
          <w:tcPr>
            <w:tcW w:w="2466" w:type="dxa"/>
            <w:vAlign w:val="center"/>
          </w:tcPr>
          <w:p w:rsidR="00AD2D34" w:rsidRPr="00FE6928" w:rsidRDefault="00AD2D34" w:rsidP="00E73945">
            <w:pPr>
              <w:pStyle w:val="IQB-Merkmal"/>
            </w:pPr>
            <w:r w:rsidRPr="00FE6928">
              <w:t>Kompetenzstufe</w:t>
            </w:r>
          </w:p>
        </w:tc>
        <w:tc>
          <w:tcPr>
            <w:tcW w:w="6604" w:type="dxa"/>
          </w:tcPr>
          <w:p w:rsidR="00AD2D34" w:rsidRPr="00FE6928" w:rsidRDefault="00AD2D34" w:rsidP="00E73945">
            <w:pPr>
              <w:pStyle w:val="IQB-Merkmalswert"/>
            </w:pPr>
            <w:r w:rsidRPr="00FE6928">
              <w:t>1a</w:t>
            </w:r>
          </w:p>
        </w:tc>
      </w:tr>
    </w:tbl>
    <w:p w:rsidR="00694A63" w:rsidRPr="00694A63" w:rsidRDefault="00694A63" w:rsidP="00694A63">
      <w:pPr>
        <w:pStyle w:val="IQB-Teilaufgabentitel"/>
        <w:rPr>
          <w:b/>
        </w:rPr>
      </w:pPr>
      <w:r w:rsidRPr="00694A63">
        <w:rPr>
          <w:b/>
        </w:rPr>
        <w:t>Aufgabenbezogener Kommentar</w:t>
      </w:r>
    </w:p>
    <w:p w:rsidR="00AD2D34" w:rsidRPr="00CA4F42" w:rsidRDefault="00AD2D34" w:rsidP="00AD2D34">
      <w:pPr>
        <w:pStyle w:val="IQB-AnweisungenText"/>
        <w:spacing w:before="0"/>
        <w:rPr>
          <w:rFonts w:ascii="Arial" w:hAnsi="Arial"/>
          <w:sz w:val="22"/>
          <w:szCs w:val="22"/>
        </w:rPr>
      </w:pPr>
      <w:r>
        <w:rPr>
          <w:rFonts w:ascii="Arial" w:hAnsi="Arial"/>
          <w:sz w:val="22"/>
          <w:szCs w:val="22"/>
        </w:rPr>
        <w:t xml:space="preserve">In dieser Aufgabe geht es um Addition und Subtraktion von ganzen Zahlen. </w:t>
      </w:r>
      <w:r w:rsidRPr="00CA4F42">
        <w:rPr>
          <w:rFonts w:ascii="Arial" w:hAnsi="Arial"/>
          <w:sz w:val="22"/>
          <w:szCs w:val="22"/>
        </w:rPr>
        <w:t xml:space="preserve">Daher ist diese Aufgabe der </w:t>
      </w:r>
      <w:r w:rsidRPr="00AC6D58">
        <w:rPr>
          <w:rFonts w:ascii="Arial" w:hAnsi="Arial"/>
          <w:sz w:val="22"/>
          <w:szCs w:val="22"/>
        </w:rPr>
        <w:t>Leitidee</w:t>
      </w:r>
      <w:r w:rsidRPr="00515A26">
        <w:rPr>
          <w:rFonts w:ascii="Arial" w:hAnsi="Arial"/>
          <w:i/>
          <w:sz w:val="22"/>
          <w:szCs w:val="22"/>
        </w:rPr>
        <w:t xml:space="preserve"> Zahl</w:t>
      </w:r>
      <w:r w:rsidRPr="00CA4F42">
        <w:rPr>
          <w:rFonts w:ascii="Arial" w:hAnsi="Arial"/>
          <w:sz w:val="22"/>
          <w:szCs w:val="22"/>
        </w:rPr>
        <w:t xml:space="preserve"> (L1) zuzuordnen</w:t>
      </w:r>
      <w:r>
        <w:rPr>
          <w:rFonts w:ascii="Arial" w:hAnsi="Arial"/>
          <w:sz w:val="22"/>
          <w:szCs w:val="22"/>
        </w:rPr>
        <w:t>.</w:t>
      </w:r>
      <w:r w:rsidRPr="00CA4F42" w:rsidDel="008667DD">
        <w:rPr>
          <w:rFonts w:ascii="Arial" w:hAnsi="Arial"/>
          <w:sz w:val="22"/>
          <w:szCs w:val="22"/>
        </w:rPr>
        <w:t xml:space="preserve"> </w:t>
      </w:r>
      <w:r w:rsidRPr="00CA4F42">
        <w:rPr>
          <w:rFonts w:ascii="Arial" w:hAnsi="Arial"/>
          <w:sz w:val="22"/>
          <w:szCs w:val="22"/>
        </w:rPr>
        <w:t>D</w:t>
      </w:r>
      <w:r>
        <w:rPr>
          <w:rFonts w:ascii="Arial" w:hAnsi="Arial"/>
          <w:sz w:val="22"/>
          <w:szCs w:val="22"/>
        </w:rPr>
        <w:t>ie Schülerinnen und Schüler</w:t>
      </w:r>
      <w:r w:rsidRPr="00CA4F42">
        <w:rPr>
          <w:rFonts w:ascii="Arial" w:hAnsi="Arial"/>
          <w:sz w:val="22"/>
          <w:szCs w:val="22"/>
        </w:rPr>
        <w:t xml:space="preserve"> </w:t>
      </w:r>
      <w:r>
        <w:rPr>
          <w:rFonts w:ascii="Arial" w:hAnsi="Arial"/>
          <w:sz w:val="22"/>
          <w:szCs w:val="22"/>
        </w:rPr>
        <w:t>nutzen</w:t>
      </w:r>
      <w:r w:rsidRPr="00CA4F42">
        <w:rPr>
          <w:rFonts w:ascii="Arial" w:hAnsi="Arial"/>
          <w:sz w:val="22"/>
          <w:szCs w:val="22"/>
        </w:rPr>
        <w:t xml:space="preserve"> </w:t>
      </w:r>
      <w:r>
        <w:rPr>
          <w:rFonts w:ascii="Arial" w:hAnsi="Arial"/>
          <w:sz w:val="22"/>
          <w:szCs w:val="22"/>
        </w:rPr>
        <w:t>den vertrauten Kontext Natur als</w:t>
      </w:r>
      <w:r w:rsidRPr="00CA4F42">
        <w:rPr>
          <w:rFonts w:ascii="Arial" w:hAnsi="Arial"/>
          <w:sz w:val="22"/>
          <w:szCs w:val="22"/>
        </w:rPr>
        <w:t xml:space="preserve"> sinntragende inhaltliche Vorstellung (siehe hierzu auch die allgemeinen Erläuterungen zur </w:t>
      </w:r>
      <w:r w:rsidRPr="00AC3174">
        <w:rPr>
          <w:rFonts w:ascii="Arial" w:hAnsi="Arial"/>
          <w:sz w:val="22"/>
          <w:szCs w:val="22"/>
        </w:rPr>
        <w:t>Leitidee</w:t>
      </w:r>
      <w:r w:rsidRPr="00515A26">
        <w:rPr>
          <w:rFonts w:ascii="Arial" w:hAnsi="Arial"/>
          <w:i/>
          <w:sz w:val="22"/>
          <w:szCs w:val="22"/>
        </w:rPr>
        <w:t xml:space="preserve"> Zahl</w:t>
      </w:r>
      <w:r>
        <w:rPr>
          <w:rFonts w:ascii="Arial" w:hAnsi="Arial"/>
          <w:sz w:val="22"/>
          <w:szCs w:val="22"/>
        </w:rPr>
        <w:t xml:space="preserve"> in Modul B</w:t>
      </w:r>
      <w:r w:rsidRPr="00CA4F42">
        <w:rPr>
          <w:rFonts w:ascii="Arial" w:hAnsi="Arial"/>
          <w:sz w:val="22"/>
          <w:szCs w:val="22"/>
        </w:rPr>
        <w:t>).</w:t>
      </w:r>
    </w:p>
    <w:p w:rsidR="00AD2D34" w:rsidRPr="00CA4F42" w:rsidRDefault="00AD2D34" w:rsidP="00AD2D34">
      <w:pPr>
        <w:pStyle w:val="IQB-AnweisungenText"/>
        <w:rPr>
          <w:rFonts w:ascii="Arial" w:hAnsi="Arial"/>
          <w:sz w:val="22"/>
          <w:szCs w:val="22"/>
        </w:rPr>
      </w:pPr>
      <w:r w:rsidRPr="00CA4F42">
        <w:rPr>
          <w:rFonts w:ascii="Arial" w:hAnsi="Arial"/>
          <w:sz w:val="22"/>
          <w:szCs w:val="22"/>
        </w:rPr>
        <w:t xml:space="preserve">Während in Teilaufgabe 1 aus der Anfangstemperatur und der Temperaturänderung die Endtemperatur zu bestimmen ist, ist in Teilaufgabe 2 die Temperaturänderung gesucht. In beiden Fällen wenden </w:t>
      </w:r>
      <w:bookmarkStart w:id="0" w:name="_GoBack1"/>
      <w:bookmarkEnd w:id="0"/>
      <w:r>
        <w:rPr>
          <w:rFonts w:ascii="Arial" w:hAnsi="Arial"/>
          <w:sz w:val="22"/>
          <w:szCs w:val="22"/>
        </w:rPr>
        <w:t xml:space="preserve">Schülerinnen und Schüler </w:t>
      </w:r>
      <w:r w:rsidRPr="00CA4F42">
        <w:rPr>
          <w:rFonts w:ascii="Arial" w:hAnsi="Arial"/>
          <w:sz w:val="22"/>
          <w:szCs w:val="22"/>
        </w:rPr>
        <w:t xml:space="preserve">vertraute Routineverfahren an (K5) oder </w:t>
      </w:r>
      <w:r>
        <w:rPr>
          <w:rFonts w:ascii="Arial" w:hAnsi="Arial"/>
          <w:sz w:val="22"/>
          <w:szCs w:val="22"/>
        </w:rPr>
        <w:t xml:space="preserve">sie </w:t>
      </w:r>
      <w:r w:rsidRPr="00CA4F42">
        <w:rPr>
          <w:rFonts w:ascii="Arial" w:hAnsi="Arial"/>
          <w:sz w:val="22"/>
          <w:szCs w:val="22"/>
        </w:rPr>
        <w:t>gelangen über ihre Vorstellungen von der Temperaturanzeige eines Thermometers zum Ergebnis.</w:t>
      </w:r>
    </w:p>
    <w:p w:rsidR="00AD2D34" w:rsidRPr="00CA4F42" w:rsidRDefault="00AD2D34" w:rsidP="00AD2D34">
      <w:pPr>
        <w:pStyle w:val="IQB-AnweisungenText"/>
        <w:rPr>
          <w:rFonts w:ascii="Arial" w:hAnsi="Arial"/>
          <w:sz w:val="22"/>
          <w:szCs w:val="22"/>
        </w:rPr>
      </w:pPr>
      <w:r w:rsidRPr="00CA4F42">
        <w:rPr>
          <w:rFonts w:ascii="Arial" w:hAnsi="Arial"/>
          <w:sz w:val="22"/>
          <w:szCs w:val="22"/>
        </w:rPr>
        <w:t>Diese Aufgabe wird dem Anforderungsbereich I zugeordnet, da die Ermittlung der Lösungen durch die direkte Anwendung grundlegender Verfahren möglich ist.</w:t>
      </w:r>
    </w:p>
    <w:p w:rsidR="00694A63" w:rsidRPr="00694A63" w:rsidRDefault="00694A63" w:rsidP="00694A63">
      <w:pPr>
        <w:pStyle w:val="IQB-Teilaufgabentitel"/>
        <w:rPr>
          <w:b/>
        </w:rPr>
      </w:pPr>
      <w:r w:rsidRPr="00694A63">
        <w:rPr>
          <w:b/>
        </w:rPr>
        <w:t>Anregungen für den Unterricht</w:t>
      </w:r>
    </w:p>
    <w:p w:rsidR="00AD2D34" w:rsidRPr="00CA4F42" w:rsidRDefault="00AD2D34" w:rsidP="00AD2D34">
      <w:pPr>
        <w:pStyle w:val="IQB-AnweisungenText"/>
        <w:spacing w:before="0"/>
        <w:rPr>
          <w:rFonts w:ascii="Arial" w:hAnsi="Arial"/>
          <w:sz w:val="22"/>
          <w:szCs w:val="22"/>
        </w:rPr>
      </w:pPr>
      <w:r w:rsidRPr="00CA4F42">
        <w:rPr>
          <w:rFonts w:ascii="Arial" w:hAnsi="Arial"/>
          <w:sz w:val="22"/>
          <w:szCs w:val="22"/>
        </w:rPr>
        <w:t>Bei Aufgaben, bei denen es um Anfangszustand, Änderung und Endzustand geht, bereiten sowohl die Deutung der Vor- und Rechenzeichen der Zahlen als auch der rechnerische Umgang damit oft Schwierigkeiten. Bezogen auf die Teilaufgaben könnten beispielsweise folgende Schwierigkeiten auftreten:</w:t>
      </w:r>
    </w:p>
    <w:p w:rsidR="00AD2D34" w:rsidRPr="00CA4F42" w:rsidRDefault="00AD2D34" w:rsidP="00AD2D34">
      <w:pPr>
        <w:pStyle w:val="IQB-AnweisungenText"/>
        <w:spacing w:before="240" w:after="120"/>
        <w:rPr>
          <w:b/>
        </w:rPr>
      </w:pPr>
      <w:r w:rsidRPr="00CA4F42">
        <w:rPr>
          <w:b/>
        </w:rPr>
        <w:t>Zu Teilaufgabe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628"/>
      </w:tblGrid>
      <w:tr w:rsidR="00AD2D34" w:rsidRPr="00CA4F42" w:rsidTr="00E73945">
        <w:tc>
          <w:tcPr>
            <w:tcW w:w="9778" w:type="dxa"/>
          </w:tcPr>
          <w:p w:rsidR="00AD2D34" w:rsidRPr="00CA4F42" w:rsidRDefault="00AD2D34" w:rsidP="00AD2D34">
            <w:pPr>
              <w:pStyle w:val="IQB-Standard"/>
              <w:numPr>
                <w:ilvl w:val="0"/>
                <w:numId w:val="12"/>
              </w:numPr>
              <w:rPr>
                <w:sz w:val="22"/>
                <w:szCs w:val="22"/>
              </w:rPr>
            </w:pPr>
            <w:r w:rsidRPr="00CA4F42">
              <w:rPr>
                <w:sz w:val="22"/>
                <w:szCs w:val="22"/>
              </w:rPr>
              <w:t>Ist die erste oder die vierte Antwortalternative angekreuzt worden, so wurden vermu</w:t>
            </w:r>
            <w:r w:rsidRPr="00CA4F42">
              <w:rPr>
                <w:sz w:val="22"/>
                <w:szCs w:val="22"/>
              </w:rPr>
              <w:t>t</w:t>
            </w:r>
            <w:r w:rsidRPr="00CA4F42">
              <w:rPr>
                <w:sz w:val="22"/>
                <w:szCs w:val="22"/>
              </w:rPr>
              <w:t>lich lediglich die B</w:t>
            </w:r>
            <w:r w:rsidRPr="00CA4F42">
              <w:rPr>
                <w:sz w:val="22"/>
                <w:szCs w:val="22"/>
              </w:rPr>
              <w:t>e</w:t>
            </w:r>
            <w:r w:rsidRPr="00CA4F42">
              <w:rPr>
                <w:sz w:val="22"/>
                <w:szCs w:val="22"/>
              </w:rPr>
              <w:t xml:space="preserve">träge der beiden Temperaturangaben addiert, und ihre Vorzeichen </w:t>
            </w:r>
            <w:r>
              <w:rPr>
                <w:sz w:val="22"/>
                <w:szCs w:val="22"/>
              </w:rPr>
              <w:t>nicht beachtet (-4 °C + (-6 °C) = -</w:t>
            </w:r>
            <w:r w:rsidRPr="00CA4F42">
              <w:rPr>
                <w:sz w:val="22"/>
                <w:szCs w:val="22"/>
              </w:rPr>
              <w:t>10 °C bzw. 4 °C + 6 °C = 10 °C).</w:t>
            </w:r>
          </w:p>
          <w:p w:rsidR="00AD2D34" w:rsidRPr="00CA4F42" w:rsidRDefault="00AD2D34" w:rsidP="00AD2D34">
            <w:pPr>
              <w:pStyle w:val="IQB-Standard"/>
              <w:numPr>
                <w:ilvl w:val="0"/>
                <w:numId w:val="12"/>
              </w:numPr>
              <w:rPr>
                <w:sz w:val="22"/>
                <w:szCs w:val="22"/>
              </w:rPr>
            </w:pPr>
            <w:r w:rsidRPr="00CA4F42">
              <w:rPr>
                <w:sz w:val="22"/>
                <w:szCs w:val="22"/>
              </w:rPr>
              <w:t>Ist die zweite Antwortalternative angekreuzt worden, so wurden die Vorzeichen beider Temperaturangaben ve</w:t>
            </w:r>
            <w:r w:rsidRPr="00CA4F42">
              <w:rPr>
                <w:sz w:val="22"/>
                <w:szCs w:val="22"/>
              </w:rPr>
              <w:t>r</w:t>
            </w:r>
            <w:r w:rsidRPr="00CA4F42">
              <w:rPr>
                <w:sz w:val="22"/>
                <w:szCs w:val="22"/>
              </w:rPr>
              <w:t>wechselt (4 °C - 6 °C = -2 °C).</w:t>
            </w:r>
          </w:p>
        </w:tc>
      </w:tr>
    </w:tbl>
    <w:p w:rsidR="00AD2D34" w:rsidRPr="00CA4F42" w:rsidRDefault="00AD2D34" w:rsidP="00AD2D34">
      <w:pPr>
        <w:pStyle w:val="IQB-AnweisungenText"/>
        <w:spacing w:before="240" w:after="120"/>
        <w:rPr>
          <w:b/>
        </w:rPr>
      </w:pPr>
      <w:r w:rsidRPr="00CA4F42">
        <w:rPr>
          <w:b/>
        </w:rPr>
        <w:t>Zu Teilaufgabe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628"/>
      </w:tblGrid>
      <w:tr w:rsidR="00AD2D34" w:rsidRPr="00CA4F42" w:rsidTr="00E73945">
        <w:tc>
          <w:tcPr>
            <w:tcW w:w="9778" w:type="dxa"/>
          </w:tcPr>
          <w:p w:rsidR="00AD2D34" w:rsidRPr="00CA4F42" w:rsidRDefault="00AD2D34" w:rsidP="00AD2D34">
            <w:pPr>
              <w:pStyle w:val="IQB-Standard"/>
              <w:numPr>
                <w:ilvl w:val="0"/>
                <w:numId w:val="12"/>
              </w:numPr>
              <w:rPr>
                <w:sz w:val="22"/>
                <w:szCs w:val="22"/>
              </w:rPr>
            </w:pPr>
            <w:r w:rsidRPr="00CA4F42">
              <w:rPr>
                <w:sz w:val="22"/>
                <w:szCs w:val="22"/>
              </w:rPr>
              <w:t xml:space="preserve">Beim Rechnen mit den Temperaturangaben werden die Vorzeichen nicht beachtet oder falsch verwendet, so dass die Differenz der Beträge </w:t>
            </w:r>
            <w:r>
              <w:rPr>
                <w:sz w:val="22"/>
                <w:szCs w:val="22"/>
              </w:rPr>
              <w:t xml:space="preserve">(6 °C) </w:t>
            </w:r>
            <w:r w:rsidRPr="00CA4F42">
              <w:rPr>
                <w:sz w:val="22"/>
                <w:szCs w:val="22"/>
              </w:rPr>
              <w:t>ermittelt wird.</w:t>
            </w:r>
          </w:p>
        </w:tc>
      </w:tr>
    </w:tbl>
    <w:p w:rsidR="00AD2D34" w:rsidRPr="00CA4F42" w:rsidRDefault="00AD2D34" w:rsidP="00AD2D34">
      <w:pPr>
        <w:pStyle w:val="IQB-AnweisungenText"/>
        <w:rPr>
          <w:rFonts w:ascii="Arial" w:hAnsi="Arial"/>
          <w:sz w:val="22"/>
          <w:szCs w:val="22"/>
        </w:rPr>
      </w:pPr>
      <w:r w:rsidRPr="00CA4F42">
        <w:rPr>
          <w:rFonts w:ascii="Arial" w:hAnsi="Arial"/>
          <w:sz w:val="22"/>
          <w:szCs w:val="22"/>
        </w:rPr>
        <w:lastRenderedPageBreak/>
        <w:t>Die Temperaturanzeige in Grad Celsius eignet sich gut dafür, negative Zahlen im Unterricht einzuführen oder nachträglich mit tragfähigen Grundvorstellungen zu verknüpfen. Der Kontext dient dann als Hinführung zum Zahlenstrahl und kann als eine erste Visualisierung des Zahlenstrahls verstanden werden. Dabei wird zunächst deutlich gemacht, dass von zwei negativen Zahlen diejenige kleiner ist, die betragsmäßig die größere ist (Was ist kälter, -1 °C oder -10 °C?); die Vorstellung „weiter links bzw. weiter unten“ wird dabei genutzt. Anschließend können Schülerinnen und Schüler damit beginnen, einfache Rechnungen mit negativen Zahlen durchzuführen. Es handelt sich demnach um ein Modell ganzer Zahlen, das zur Entwicklung von Rechenstrategien genutzt werden kann.</w:t>
      </w:r>
    </w:p>
    <w:p w:rsidR="00AD2D34" w:rsidRPr="00CA4F42" w:rsidRDefault="00AD2D34" w:rsidP="00AD2D34">
      <w:pPr>
        <w:pStyle w:val="IQB-AnweisungenText"/>
        <w:spacing w:after="120"/>
        <w:rPr>
          <w:rFonts w:ascii="Arial" w:hAnsi="Arial"/>
          <w:sz w:val="22"/>
          <w:szCs w:val="22"/>
        </w:rPr>
      </w:pPr>
      <w:r w:rsidRPr="00CA4F42">
        <w:rPr>
          <w:rFonts w:ascii="Arial" w:hAnsi="Arial"/>
          <w:sz w:val="22"/>
          <w:szCs w:val="22"/>
        </w:rPr>
        <w:t xml:space="preserve">Grundvorstellungen zu negativen Zahlen lassen sich auch anhand weiterer lebensnaher Kontexte im Unterricht erarbeiten: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210"/>
      </w:tblGrid>
      <w:tr w:rsidR="00AD2D34" w:rsidRPr="00CA4F42" w:rsidTr="00E73945">
        <w:tc>
          <w:tcPr>
            <w:tcW w:w="9210" w:type="dxa"/>
            <w:shd w:val="clear" w:color="auto" w:fill="auto"/>
          </w:tcPr>
          <w:p w:rsidR="00AD2D34" w:rsidRPr="00FE6928" w:rsidRDefault="00AD2D34" w:rsidP="00AD2D34">
            <w:pPr>
              <w:pStyle w:val="IQB-AnweisungenText"/>
              <w:numPr>
                <w:ilvl w:val="0"/>
                <w:numId w:val="11"/>
              </w:numPr>
              <w:spacing w:after="60"/>
              <w:jc w:val="both"/>
              <w:rPr>
                <w:rFonts w:ascii="Arial" w:hAnsi="Arial"/>
                <w:sz w:val="22"/>
                <w:szCs w:val="22"/>
              </w:rPr>
            </w:pPr>
            <w:r w:rsidRPr="00FE6928">
              <w:rPr>
                <w:rFonts w:ascii="Arial" w:hAnsi="Arial"/>
                <w:sz w:val="22"/>
                <w:szCs w:val="22"/>
              </w:rPr>
              <w:t xml:space="preserve">Mit Höhenangaben über oder unter Normalnull können </w:t>
            </w:r>
            <w:r>
              <w:rPr>
                <w:rFonts w:ascii="Arial" w:hAnsi="Arial"/>
                <w:sz w:val="22"/>
                <w:szCs w:val="22"/>
              </w:rPr>
              <w:t>z.</w:t>
            </w:r>
            <w:r w:rsidRPr="00A578AF">
              <w:rPr>
                <w:rFonts w:ascii="Arial" w:hAnsi="Arial"/>
                <w:sz w:val="12"/>
                <w:szCs w:val="12"/>
              </w:rPr>
              <w:t> </w:t>
            </w:r>
            <w:r>
              <w:rPr>
                <w:rFonts w:ascii="Arial" w:hAnsi="Arial"/>
                <w:sz w:val="22"/>
                <w:szCs w:val="22"/>
              </w:rPr>
              <w:t>B.</w:t>
            </w:r>
            <w:r w:rsidRPr="00FE6928">
              <w:rPr>
                <w:rFonts w:ascii="Arial" w:hAnsi="Arial"/>
                <w:sz w:val="22"/>
                <w:szCs w:val="22"/>
              </w:rPr>
              <w:t xml:space="preserve"> Orte (Berge, Täler usw.) geordnet dargestellt werden. </w:t>
            </w:r>
          </w:p>
          <w:p w:rsidR="00AD2D34" w:rsidRPr="00FE6928" w:rsidRDefault="00AD2D34" w:rsidP="00AD2D34">
            <w:pPr>
              <w:pStyle w:val="IQB-AnweisungenText"/>
              <w:numPr>
                <w:ilvl w:val="0"/>
                <w:numId w:val="11"/>
              </w:numPr>
              <w:spacing w:after="60"/>
              <w:jc w:val="both"/>
              <w:rPr>
                <w:rFonts w:ascii="Arial" w:hAnsi="Arial"/>
                <w:sz w:val="22"/>
                <w:szCs w:val="22"/>
              </w:rPr>
            </w:pPr>
            <w:r w:rsidRPr="00FE6928">
              <w:rPr>
                <w:rFonts w:ascii="Arial" w:hAnsi="Arial"/>
                <w:sz w:val="22"/>
                <w:szCs w:val="22"/>
              </w:rPr>
              <w:t xml:space="preserve">Historische Ereignisse vor bzw. nach Beginn unserer Zeitrechnung lassen sich auf einem Zeitstrahl darstellen. </w:t>
            </w:r>
          </w:p>
          <w:p w:rsidR="00AD2D34" w:rsidRPr="00FE6928" w:rsidRDefault="00AD2D34" w:rsidP="00AD2D34">
            <w:pPr>
              <w:pStyle w:val="IQB-AnweisungenText"/>
              <w:numPr>
                <w:ilvl w:val="0"/>
                <w:numId w:val="11"/>
              </w:numPr>
              <w:spacing w:after="60"/>
              <w:jc w:val="both"/>
              <w:rPr>
                <w:rFonts w:ascii="Arial" w:hAnsi="Arial"/>
                <w:sz w:val="22"/>
                <w:szCs w:val="22"/>
              </w:rPr>
            </w:pPr>
            <w:r w:rsidRPr="00FE6928">
              <w:rPr>
                <w:rFonts w:ascii="Arial" w:hAnsi="Arial"/>
                <w:sz w:val="22"/>
                <w:szCs w:val="22"/>
              </w:rPr>
              <w:t xml:space="preserve">Rechnen mit negativen Zahlen kann </w:t>
            </w:r>
            <w:r>
              <w:rPr>
                <w:rFonts w:ascii="Arial" w:hAnsi="Arial"/>
                <w:sz w:val="22"/>
                <w:szCs w:val="22"/>
              </w:rPr>
              <w:t>z.</w:t>
            </w:r>
            <w:r w:rsidRPr="00A578AF">
              <w:rPr>
                <w:rFonts w:ascii="Arial" w:hAnsi="Arial"/>
                <w:sz w:val="12"/>
                <w:szCs w:val="12"/>
              </w:rPr>
              <w:t> </w:t>
            </w:r>
            <w:r>
              <w:rPr>
                <w:rFonts w:ascii="Arial" w:hAnsi="Arial"/>
                <w:sz w:val="22"/>
                <w:szCs w:val="22"/>
              </w:rPr>
              <w:t>B.</w:t>
            </w:r>
            <w:r w:rsidRPr="00FE6928">
              <w:rPr>
                <w:rFonts w:ascii="Arial" w:hAnsi="Arial"/>
                <w:sz w:val="22"/>
                <w:szCs w:val="22"/>
              </w:rPr>
              <w:t xml:space="preserve"> anhand von Bankkonten und insbesondere Soll (Schulden) und Haben (Guthaben) eingeführt und geübt werden. </w:t>
            </w:r>
          </w:p>
          <w:p w:rsidR="00AD2D34" w:rsidRPr="00FE6928" w:rsidRDefault="00AD2D34" w:rsidP="00AD2D34">
            <w:pPr>
              <w:pStyle w:val="IQB-AnweisungenText"/>
              <w:numPr>
                <w:ilvl w:val="0"/>
                <w:numId w:val="11"/>
              </w:numPr>
              <w:spacing w:after="60"/>
              <w:jc w:val="both"/>
              <w:rPr>
                <w:rFonts w:ascii="Arial" w:hAnsi="Arial"/>
                <w:sz w:val="22"/>
                <w:szCs w:val="22"/>
              </w:rPr>
            </w:pPr>
            <w:r w:rsidRPr="00FE6928">
              <w:rPr>
                <w:rFonts w:ascii="Arial" w:hAnsi="Arial"/>
                <w:sz w:val="22"/>
                <w:szCs w:val="22"/>
              </w:rPr>
              <w:t>Wasserstände (Pegelstände) an einem der Schule nahegelegenen Gewässer können fotografiert und im Unterricht thematisiert werden.</w:t>
            </w:r>
          </w:p>
        </w:tc>
      </w:tr>
    </w:tbl>
    <w:p w:rsidR="00AD2D34" w:rsidRDefault="00AD2D34" w:rsidP="00AD2D34">
      <w:pPr>
        <w:pStyle w:val="IQB-AnweisungenText"/>
        <w:rPr>
          <w:rFonts w:ascii="Arial" w:hAnsi="Arial"/>
          <w:sz w:val="22"/>
          <w:szCs w:val="22"/>
        </w:rPr>
      </w:pPr>
      <w:r w:rsidRPr="00CA4F42">
        <w:rPr>
          <w:rFonts w:ascii="Arial" w:hAnsi="Arial"/>
          <w:sz w:val="22"/>
          <w:szCs w:val="22"/>
        </w:rPr>
        <w:t xml:space="preserve">Will man anknüpfend an den mathematischen Inhalt </w:t>
      </w:r>
      <w:r w:rsidRPr="00CA4F42">
        <w:rPr>
          <w:rFonts w:ascii="Arial" w:hAnsi="Arial"/>
          <w:i/>
          <w:iCs/>
          <w:sz w:val="22"/>
          <w:szCs w:val="22"/>
        </w:rPr>
        <w:t xml:space="preserve">negative Zahlen </w:t>
      </w:r>
      <w:r w:rsidRPr="00CA4F42">
        <w:rPr>
          <w:rFonts w:ascii="Arial" w:hAnsi="Arial"/>
          <w:sz w:val="22"/>
          <w:szCs w:val="22"/>
        </w:rPr>
        <w:t xml:space="preserve">die Kompetenz </w:t>
      </w:r>
      <w:r w:rsidRPr="008D39EA">
        <w:rPr>
          <w:rFonts w:ascii="Arial" w:hAnsi="Arial"/>
          <w:i/>
          <w:sz w:val="22"/>
          <w:szCs w:val="22"/>
        </w:rPr>
        <w:t>Mathematische Darstellungen verwenden</w:t>
      </w:r>
      <w:r w:rsidRPr="00CA4F42">
        <w:rPr>
          <w:rFonts w:ascii="Arial" w:hAnsi="Arial"/>
          <w:sz w:val="22"/>
          <w:szCs w:val="22"/>
        </w:rPr>
        <w:t xml:space="preserve"> (K4) weiter fördern, so bieten sich Anwendungsaufgaben an, bei denen die Schülerinnen und Schüler Zeit-, Höhen- oder Temperaturangaben aus einem Sachtext eigenständig visuell aufbereiten müssen.</w:t>
      </w:r>
    </w:p>
    <w:p w:rsidR="00AD2D34" w:rsidRPr="00CA4F42" w:rsidRDefault="00AD2D34" w:rsidP="00AD2D34">
      <w:pPr>
        <w:pStyle w:val="IQB-AnweisungenText"/>
        <w:rPr>
          <w:rFonts w:ascii="Arial" w:hAnsi="Arial"/>
          <w:sz w:val="22"/>
          <w:szCs w:val="22"/>
        </w:rPr>
      </w:pPr>
      <w:bookmarkStart w:id="1" w:name="_GoBack"/>
      <w:bookmarkEnd w:id="1"/>
      <w:r w:rsidRPr="00CA4F42">
        <w:rPr>
          <w:rFonts w:ascii="Arial" w:hAnsi="Arial"/>
          <w:sz w:val="22"/>
          <w:szCs w:val="22"/>
        </w:rPr>
        <w:t>Um zu verhindern, dass ein Kontext zur Lösung einer Aufgabe unberücksichtigt bleibt, weil einfach Strukturmerkmale bereits bekannter Sachaufgaben auf ähnlich strukturierte Sachaufgaben übertragen werden, bietet es sich an, möglichst verschiedene Variationen von „Anfangszustand (klar/un</w:t>
      </w:r>
      <w:r>
        <w:rPr>
          <w:rFonts w:ascii="Arial" w:hAnsi="Arial"/>
          <w:sz w:val="22"/>
          <w:szCs w:val="22"/>
        </w:rPr>
        <w:t xml:space="preserve">klar) – Änderung (klar/unklar) </w:t>
      </w:r>
      <w:r w:rsidRPr="00CA4F42">
        <w:rPr>
          <w:rFonts w:ascii="Arial" w:hAnsi="Arial"/>
          <w:sz w:val="22"/>
          <w:szCs w:val="22"/>
        </w:rPr>
        <w:t>– Endzustand (klar/unklar)“ bei der Aufgabenerstellung zu verwenden.</w:t>
      </w:r>
    </w:p>
    <w:p w:rsidR="00694A63" w:rsidRPr="005B2F65" w:rsidRDefault="00694A63" w:rsidP="00AD2D34">
      <w:pPr>
        <w:pStyle w:val="IQB-Standard"/>
        <w:rPr>
          <w:rFonts w:cs="Arial"/>
          <w:sz w:val="22"/>
          <w:szCs w:val="22"/>
        </w:rPr>
      </w:pPr>
    </w:p>
    <w:sectPr w:rsidR="00694A63" w:rsidRPr="005B2F65"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Bold r:id="rId1" w:subsetted="1" w:fontKey="{572C75D7-76BB-4E39-8698-0C2E6CA0AB8E}"/>
  </w:font>
  <w:font w:name="Arial">
    <w:panose1 w:val="020B0604020202020204"/>
    <w:charset w:val="00"/>
    <w:family w:val="swiss"/>
    <w:pitch w:val="variable"/>
    <w:sig w:usb0="E0002EFF" w:usb1="C000785B" w:usb2="00000009" w:usb3="00000000" w:csb0="000001FF" w:csb1="00000000"/>
    <w:embedRegular r:id="rId2" w:fontKey="{D2AB0C97-3DAE-4D8A-AD9D-FB64691D23CE}"/>
    <w:embedBold r:id="rId3" w:fontKey="{C67C0CAD-163B-44D0-8FFC-271620261379}"/>
    <w:embedItalic r:id="rId4" w:fontKey="{D5DB9199-4646-4DA9-9E50-ADCEF4B28A04}"/>
    <w:embedBoldItalic r:id="rId5" w:fontKey="{BCF39B98-8F41-4108-8F3F-B6CC3CC4B3FF}"/>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880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8065"/>
    <o:shapelayout v:ext="edit">
      <o:idmap v:ext="edit" data="1"/>
    </o:shapelayout>
  </w:shapeDefaults>
  <w:decimalSymbol w:val=","/>
  <w:listSeparator w:val=";"/>
  <w14:docId w14:val="03F05DBC"/>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717A4F-24C8-418F-9568-B793FFEE63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563</Words>
  <Characters>3686</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4241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2025-07-21T07:10:00Z</dcterms:created>
  <dcterms:modified xsi:type="dcterms:W3CDTF">2025-07-21T07:10:00Z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